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7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trag Gehölzpflegemaßnahmen im FB II.2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